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76909" w14:textId="1D47298D" w:rsidR="0006093E" w:rsidRPr="006168D4" w:rsidRDefault="0006093E" w:rsidP="0006093E">
      <w:pPr>
        <w:jc w:val="center"/>
        <w:rPr>
          <w:rFonts w:ascii="Verdana" w:hAnsi="Verdana" w:cs="Arial"/>
          <w:b/>
          <w:sz w:val="20"/>
          <w:szCs w:val="20"/>
          <w:lang w:val="es-419"/>
        </w:rPr>
      </w:pPr>
      <w:r w:rsidRPr="006168D4">
        <w:rPr>
          <w:rFonts w:ascii="Verdana" w:hAnsi="Verdana" w:cs="Arial"/>
          <w:b/>
          <w:sz w:val="20"/>
          <w:szCs w:val="20"/>
          <w:lang w:val="es-419"/>
        </w:rPr>
        <w:t>MATRIZ 2 – INDICADORES FINANCIEROS</w:t>
      </w:r>
    </w:p>
    <w:p w14:paraId="52B54C92" w14:textId="5A4BCF37" w:rsidR="0006093E" w:rsidRPr="006168D4" w:rsidRDefault="0006093E" w:rsidP="0006093E">
      <w:pPr>
        <w:jc w:val="center"/>
        <w:rPr>
          <w:rFonts w:ascii="Verdana" w:hAnsi="Verdana" w:cs="Arial"/>
          <w:b/>
          <w:sz w:val="20"/>
          <w:szCs w:val="20"/>
          <w:lang w:val="es-419"/>
        </w:rPr>
      </w:pPr>
      <w:r w:rsidRPr="006168D4">
        <w:rPr>
          <w:rFonts w:ascii="Verdana" w:hAnsi="Verdana" w:cs="Arial"/>
          <w:b/>
          <w:sz w:val="20"/>
          <w:szCs w:val="20"/>
          <w:lang w:val="es-419"/>
        </w:rPr>
        <w:t xml:space="preserve">OBRAS PARA INFRAESTRUCTURA </w:t>
      </w:r>
      <w:r w:rsidR="00A82D16" w:rsidRPr="006168D4">
        <w:rPr>
          <w:rFonts w:ascii="Verdana" w:hAnsi="Verdana" w:cs="Arial"/>
          <w:b/>
          <w:sz w:val="20"/>
          <w:szCs w:val="20"/>
          <w:lang w:val="es-419"/>
        </w:rPr>
        <w:t>SOCIAL</w:t>
      </w:r>
      <w:r w:rsidRPr="006168D4">
        <w:rPr>
          <w:rFonts w:ascii="Verdana" w:hAnsi="Verdana" w:cs="Arial"/>
          <w:b/>
          <w:sz w:val="20"/>
          <w:szCs w:val="20"/>
          <w:lang w:val="es-419"/>
        </w:rPr>
        <w:t xml:space="preserve"> </w:t>
      </w:r>
    </w:p>
    <w:p w14:paraId="4B9D798C" w14:textId="77777777" w:rsidR="00070DEB" w:rsidRPr="006168D4" w:rsidRDefault="00070DEB" w:rsidP="00BE2FAB">
      <w:pPr>
        <w:rPr>
          <w:rFonts w:ascii="Verdana" w:hAnsi="Verdana" w:cs="Arial"/>
          <w:b/>
          <w:bCs/>
          <w:sz w:val="20"/>
          <w:szCs w:val="20"/>
          <w:lang w:val="es-419"/>
        </w:rPr>
      </w:pPr>
    </w:p>
    <w:p w14:paraId="52FC3EB1" w14:textId="77777777" w:rsidR="00070DEB" w:rsidRPr="006168D4" w:rsidRDefault="00070DEB" w:rsidP="00070DEB">
      <w:pPr>
        <w:jc w:val="both"/>
        <w:rPr>
          <w:rFonts w:ascii="Verdana" w:hAnsi="Verdana" w:cstheme="majorHAnsi"/>
          <w:color w:val="1A1818" w:themeColor="text1"/>
          <w:sz w:val="20"/>
          <w:szCs w:val="16"/>
          <w:highlight w:val="lightGray"/>
        </w:rPr>
      </w:pPr>
      <w:bookmarkStart w:id="0" w:name="_Hlk40336554"/>
      <w:r w:rsidRPr="006168D4">
        <w:rPr>
          <w:rFonts w:ascii="Verdana" w:hAnsi="Verdana" w:cstheme="majorHAnsi"/>
          <w:color w:val="1A1818" w:themeColor="text1"/>
          <w:sz w:val="20"/>
          <w:szCs w:val="16"/>
          <w:highlight w:val="lightGray"/>
        </w:rPr>
        <w:t>[La Entidad puede o no exigir la Capacidad Financiera mínima en los Procesos de Contratación cuando no hace el pago contra entrega a satisfacción de los bienes, obras o servicios.</w:t>
      </w:r>
      <w:bookmarkEnd w:id="0"/>
      <w:r w:rsidRPr="006168D4">
        <w:rPr>
          <w:rFonts w:ascii="Verdana" w:hAnsi="Verdana" w:cstheme="majorHAnsi"/>
          <w:color w:val="1A1818" w:themeColor="text1"/>
          <w:sz w:val="20"/>
          <w:szCs w:val="16"/>
          <w:highlight w:val="lightGray"/>
        </w:rPr>
        <w:t xml:space="preserve"> Si la Entidad decide establecer un requisito habilitante de Capacidad Financiera, deberá solicitarla de acuerdo con la Matriz 2 - Indicadores Financieros y las reglas de este numeral. En el escenario que determine no exigir Capacidad Financiera mínima, deberá realizar la valoración de riesgos que esto pueda incidir en la ejecución del futuro contrato, al igual que detallar en esta sección los motivos bajo los cuales tomó dicha decisión].</w:t>
      </w:r>
    </w:p>
    <w:p w14:paraId="284AA72D" w14:textId="77777777" w:rsidR="00070DEB" w:rsidRPr="006168D4" w:rsidRDefault="00070DEB" w:rsidP="00BE2FAB">
      <w:pPr>
        <w:rPr>
          <w:rFonts w:ascii="Verdana" w:hAnsi="Verdana" w:cs="Arial"/>
          <w:b/>
          <w:bCs/>
          <w:sz w:val="20"/>
          <w:szCs w:val="20"/>
          <w:lang w:val="es-419"/>
        </w:rPr>
      </w:pPr>
    </w:p>
    <w:p w14:paraId="6187B95A" w14:textId="650B4BE2" w:rsidR="6CF4BAE8" w:rsidRPr="006168D4" w:rsidRDefault="6CF4BAE8" w:rsidP="003445B6">
      <w:pPr>
        <w:pStyle w:val="Prrafodelista"/>
        <w:numPr>
          <w:ilvl w:val="0"/>
          <w:numId w:val="2"/>
        </w:numPr>
        <w:ind w:left="426"/>
        <w:jc w:val="both"/>
        <w:rPr>
          <w:rFonts w:ascii="Verdana" w:eastAsiaTheme="minorEastAsia" w:hAnsi="Verdana"/>
          <w:i/>
          <w:iCs/>
          <w:color w:val="000000"/>
          <w:sz w:val="20"/>
          <w:szCs w:val="20"/>
          <w:lang w:val="es-419"/>
        </w:rPr>
      </w:pPr>
      <w:r w:rsidRPr="006168D4">
        <w:rPr>
          <w:rFonts w:ascii="Verdana" w:eastAsia="Arial" w:hAnsi="Verdana" w:cs="Arial"/>
          <w:i/>
          <w:iCs/>
          <w:color w:val="000000"/>
          <w:sz w:val="20"/>
          <w:szCs w:val="20"/>
          <w:lang w:val="es-419"/>
        </w:rPr>
        <w:t>Índices de capacidad financiera para Mipyme</w:t>
      </w:r>
    </w:p>
    <w:p w14:paraId="23D703A5" w14:textId="77586881" w:rsidR="6CF4BAE8" w:rsidRPr="006168D4" w:rsidRDefault="6CF4BAE8" w:rsidP="008E0590">
      <w:pPr>
        <w:contextualSpacing/>
        <w:jc w:val="both"/>
        <w:rPr>
          <w:rFonts w:ascii="Verdana" w:eastAsia="Arial" w:hAnsi="Verdana" w:cs="Arial"/>
          <w:color w:val="000000"/>
          <w:sz w:val="20"/>
          <w:szCs w:val="20"/>
          <w:lang w:val="es-419"/>
        </w:rPr>
      </w:pPr>
    </w:p>
    <w:p w14:paraId="68BBFB57" w14:textId="1AAB6F33" w:rsidR="6CF4BAE8" w:rsidRPr="006168D4" w:rsidRDefault="6CF4BAE8" w:rsidP="008E0590">
      <w:pPr>
        <w:contextualSpacing/>
        <w:jc w:val="both"/>
        <w:rPr>
          <w:rFonts w:ascii="Verdana" w:eastAsia="Arial" w:hAnsi="Verdana" w:cs="Arial"/>
          <w:color w:val="000000"/>
          <w:sz w:val="20"/>
          <w:szCs w:val="20"/>
          <w:lang w:val="es-419"/>
        </w:rPr>
      </w:pPr>
      <w:r w:rsidRPr="006168D4">
        <w:rPr>
          <w:rFonts w:ascii="Verdana" w:eastAsia="Arial" w:hAnsi="Verdana" w:cs="Arial"/>
          <w:color w:val="000000"/>
          <w:sz w:val="20"/>
          <w:szCs w:val="20"/>
          <w:lang w:val="es-419"/>
        </w:rPr>
        <w:t xml:space="preserve">El Proponente persona natural o jurídica que acredite la condición de Mipyme de conformidad </w:t>
      </w:r>
      <w:r w:rsidR="0012108F" w:rsidRPr="006168D4">
        <w:rPr>
          <w:rFonts w:ascii="Verdana" w:eastAsia="Arial" w:hAnsi="Verdana" w:cs="Arial"/>
          <w:color w:val="000000"/>
          <w:sz w:val="20"/>
          <w:szCs w:val="20"/>
          <w:lang w:val="es-419"/>
        </w:rPr>
        <w:t>con lo previsto en el artículo 2.2.1.2.4.2.4. del Decreto 1082 de 2015,</w:t>
      </w:r>
      <w:r w:rsidR="0012108F" w:rsidRPr="006168D4">
        <w:rPr>
          <w:rFonts w:ascii="Verdana" w:eastAsia="Arial" w:hAnsi="Verdana" w:cs="Arial"/>
          <w:iCs/>
          <w:color w:val="000000"/>
          <w:sz w:val="20"/>
          <w:szCs w:val="20"/>
          <w:lang w:val="es-ES"/>
        </w:rPr>
        <w:t xml:space="preserve"> en concordancia con el parágrafo del artículo 2.2.1.13.2.4 del Decreto 1074 de 2015</w:t>
      </w:r>
      <w:r w:rsidRPr="006168D4">
        <w:rPr>
          <w:rFonts w:ascii="Verdana" w:eastAsia="Arial" w:hAnsi="Verdana" w:cs="Arial"/>
          <w:color w:val="000000"/>
          <w:sz w:val="20"/>
          <w:szCs w:val="20"/>
          <w:lang w:val="es-419"/>
        </w:rPr>
        <w:t>, o las normas que los modifiquen, sustituyan o complementen, acreditará los siguientes indicadores:</w:t>
      </w:r>
    </w:p>
    <w:p w14:paraId="7AD4BCD0" w14:textId="6D307109" w:rsidR="6CF4BAE8" w:rsidRPr="006168D4" w:rsidRDefault="6CF4BAE8" w:rsidP="008E0590">
      <w:pPr>
        <w:rPr>
          <w:rFonts w:ascii="Verdana" w:hAnsi="Verdana" w:cs="Arial"/>
          <w:b/>
          <w:bCs/>
          <w:szCs w:val="24"/>
          <w:lang w:val="es-419"/>
        </w:rPr>
      </w:pPr>
    </w:p>
    <w:tbl>
      <w:tblPr>
        <w:tblStyle w:val="Tablaconcuadrcula"/>
        <w:tblW w:w="0" w:type="auto"/>
        <w:jc w:val="center"/>
        <w:tblLook w:val="04A0" w:firstRow="1" w:lastRow="0" w:firstColumn="1" w:lastColumn="0" w:noHBand="0" w:noVBand="1"/>
      </w:tblPr>
      <w:tblGrid>
        <w:gridCol w:w="2689"/>
        <w:gridCol w:w="2268"/>
      </w:tblGrid>
      <w:tr w:rsidR="00C5162A" w:rsidRPr="006168D4" w14:paraId="5192F2BB" w14:textId="77777777" w:rsidTr="006168D4">
        <w:trPr>
          <w:trHeight w:val="20"/>
          <w:jc w:val="center"/>
        </w:trPr>
        <w:tc>
          <w:tcPr>
            <w:tcW w:w="2689" w:type="dxa"/>
            <w:shd w:val="clear" w:color="auto" w:fill="B8B7B7" w:themeFill="accent2" w:themeFillTint="66"/>
            <w:vAlign w:val="center"/>
          </w:tcPr>
          <w:p w14:paraId="1ACBB3B3" w14:textId="77777777" w:rsidR="0006093E" w:rsidRPr="006168D4" w:rsidRDefault="0006093E" w:rsidP="00E64CF9">
            <w:pPr>
              <w:ind w:left="174" w:hanging="174"/>
              <w:jc w:val="center"/>
              <w:rPr>
                <w:rFonts w:ascii="Verdana" w:hAnsi="Verdana" w:cs="Arial"/>
                <w:b/>
                <w:sz w:val="18"/>
                <w:szCs w:val="18"/>
              </w:rPr>
            </w:pPr>
            <w:r w:rsidRPr="006168D4">
              <w:rPr>
                <w:rFonts w:ascii="Verdana" w:hAnsi="Verdana" w:cs="Arial"/>
                <w:b/>
                <w:sz w:val="18"/>
                <w:szCs w:val="18"/>
              </w:rPr>
              <w:t>Indicador</w:t>
            </w:r>
          </w:p>
        </w:tc>
        <w:tc>
          <w:tcPr>
            <w:tcW w:w="2268" w:type="dxa"/>
            <w:shd w:val="clear" w:color="auto" w:fill="B8B7B7" w:themeFill="accent2" w:themeFillTint="66"/>
            <w:vAlign w:val="center"/>
          </w:tcPr>
          <w:p w14:paraId="13B994ED" w14:textId="77777777" w:rsidR="0006093E" w:rsidRPr="006168D4" w:rsidRDefault="0006093E" w:rsidP="00E64CF9">
            <w:pPr>
              <w:ind w:left="174" w:hanging="174"/>
              <w:jc w:val="center"/>
              <w:rPr>
                <w:rFonts w:ascii="Verdana" w:hAnsi="Verdana" w:cs="Arial"/>
                <w:b/>
                <w:sz w:val="18"/>
                <w:szCs w:val="18"/>
              </w:rPr>
            </w:pPr>
            <w:r w:rsidRPr="006168D4">
              <w:rPr>
                <w:rFonts w:ascii="Verdana" w:hAnsi="Verdana" w:cs="Arial"/>
                <w:b/>
                <w:sz w:val="18"/>
                <w:szCs w:val="18"/>
              </w:rPr>
              <w:t>Valor concertado</w:t>
            </w:r>
          </w:p>
        </w:tc>
      </w:tr>
      <w:tr w:rsidR="00C5162A" w:rsidRPr="006168D4" w14:paraId="44F5F936" w14:textId="77777777" w:rsidTr="00EF5F45">
        <w:trPr>
          <w:trHeight w:val="203"/>
          <w:jc w:val="center"/>
        </w:trPr>
        <w:tc>
          <w:tcPr>
            <w:tcW w:w="2689" w:type="dxa"/>
            <w:vAlign w:val="center"/>
          </w:tcPr>
          <w:p w14:paraId="232FCB32" w14:textId="4E11D618" w:rsidR="0006093E" w:rsidRPr="006168D4" w:rsidRDefault="0006093E" w:rsidP="00E64CF9">
            <w:pPr>
              <w:jc w:val="center"/>
              <w:rPr>
                <w:rFonts w:ascii="Verdana" w:hAnsi="Verdana" w:cs="Arial"/>
                <w:sz w:val="18"/>
                <w:szCs w:val="18"/>
              </w:rPr>
            </w:pPr>
            <w:r w:rsidRPr="006168D4">
              <w:rPr>
                <w:rFonts w:ascii="Verdana" w:hAnsi="Verdana" w:cs="Arial"/>
                <w:sz w:val="18"/>
                <w:szCs w:val="18"/>
              </w:rPr>
              <w:t xml:space="preserve">Índice de </w:t>
            </w:r>
            <w:r w:rsidR="00314A43" w:rsidRPr="006168D4">
              <w:rPr>
                <w:rFonts w:ascii="Verdana" w:hAnsi="Verdana" w:cs="Arial"/>
                <w:sz w:val="18"/>
                <w:szCs w:val="18"/>
              </w:rPr>
              <w:t>l</w:t>
            </w:r>
            <w:r w:rsidRPr="006168D4">
              <w:rPr>
                <w:rFonts w:ascii="Verdana" w:hAnsi="Verdana" w:cs="Arial"/>
                <w:sz w:val="18"/>
                <w:szCs w:val="18"/>
              </w:rPr>
              <w:t>iquidez</w:t>
            </w:r>
          </w:p>
        </w:tc>
        <w:tc>
          <w:tcPr>
            <w:tcW w:w="2268" w:type="dxa"/>
            <w:vAlign w:val="center"/>
          </w:tcPr>
          <w:p w14:paraId="5248912B" w14:textId="5496993F" w:rsidR="0006093E" w:rsidRPr="006168D4" w:rsidRDefault="0006093E" w:rsidP="00EF5F45">
            <w:pPr>
              <w:spacing w:before="240"/>
              <w:jc w:val="center"/>
              <w:rPr>
                <w:rFonts w:ascii="Verdana" w:hAnsi="Verdana" w:cs="Arial"/>
                <w:bCs/>
                <w:sz w:val="18"/>
                <w:szCs w:val="18"/>
              </w:rPr>
            </w:pPr>
            <m:oMath>
              <m:r>
                <m:rPr>
                  <m:sty m:val="p"/>
                </m:rPr>
                <w:rPr>
                  <w:rFonts w:ascii="Cambria Math" w:hAnsi="Cambria Math" w:cs="Arial"/>
                  <w:sz w:val="18"/>
                  <w:szCs w:val="18"/>
                </w:rPr>
                <m:t>≥</m:t>
              </m:r>
            </m:oMath>
            <w:r w:rsidRPr="006168D4">
              <w:rPr>
                <w:rFonts w:ascii="Verdana" w:hAnsi="Verdana" w:cs="Arial"/>
                <w:bCs/>
                <w:sz w:val="18"/>
                <w:szCs w:val="18"/>
              </w:rPr>
              <w:t>1</w:t>
            </w:r>
            <w:r w:rsidR="220A5395" w:rsidRPr="006168D4">
              <w:rPr>
                <w:rFonts w:ascii="Verdana" w:hAnsi="Verdana" w:cs="Arial"/>
                <w:sz w:val="18"/>
                <w:szCs w:val="18"/>
              </w:rPr>
              <w:t>,</w:t>
            </w:r>
            <w:r w:rsidR="004A0753" w:rsidRPr="006168D4">
              <w:rPr>
                <w:rFonts w:ascii="Verdana" w:hAnsi="Verdana" w:cs="Arial"/>
                <w:sz w:val="18"/>
                <w:szCs w:val="18"/>
              </w:rPr>
              <w:t>1</w:t>
            </w:r>
          </w:p>
        </w:tc>
      </w:tr>
      <w:tr w:rsidR="00C5162A" w:rsidRPr="006168D4" w14:paraId="2DD5AD51" w14:textId="77777777" w:rsidTr="6CF4BAE8">
        <w:trPr>
          <w:trHeight w:val="20"/>
          <w:jc w:val="center"/>
        </w:trPr>
        <w:tc>
          <w:tcPr>
            <w:tcW w:w="2689" w:type="dxa"/>
            <w:vAlign w:val="center"/>
          </w:tcPr>
          <w:p w14:paraId="102DE26F" w14:textId="1D4F48B0" w:rsidR="0006093E" w:rsidRPr="006168D4" w:rsidRDefault="0006093E" w:rsidP="00E64CF9">
            <w:pPr>
              <w:jc w:val="center"/>
              <w:rPr>
                <w:rFonts w:ascii="Verdana" w:hAnsi="Verdana" w:cs="Arial"/>
                <w:sz w:val="18"/>
                <w:szCs w:val="18"/>
              </w:rPr>
            </w:pPr>
            <w:r w:rsidRPr="006168D4">
              <w:rPr>
                <w:rFonts w:ascii="Verdana" w:hAnsi="Verdana" w:cs="Arial"/>
                <w:sz w:val="18"/>
                <w:szCs w:val="18"/>
              </w:rPr>
              <w:t xml:space="preserve">Índice de </w:t>
            </w:r>
            <w:r w:rsidR="00314A43" w:rsidRPr="006168D4">
              <w:rPr>
                <w:rFonts w:ascii="Verdana" w:hAnsi="Verdana" w:cs="Arial"/>
                <w:sz w:val="18"/>
                <w:szCs w:val="18"/>
              </w:rPr>
              <w:t>e</w:t>
            </w:r>
            <w:r w:rsidRPr="006168D4">
              <w:rPr>
                <w:rFonts w:ascii="Verdana" w:hAnsi="Verdana" w:cs="Arial"/>
                <w:sz w:val="18"/>
                <w:szCs w:val="18"/>
              </w:rPr>
              <w:t>ndeudamiento</w:t>
            </w:r>
          </w:p>
        </w:tc>
        <w:tc>
          <w:tcPr>
            <w:tcW w:w="2268" w:type="dxa"/>
            <w:vAlign w:val="center"/>
          </w:tcPr>
          <w:p w14:paraId="01BC3F51" w14:textId="4FFF2B6C" w:rsidR="0006093E" w:rsidRPr="00EF5F45" w:rsidRDefault="0006093E" w:rsidP="00EF5F45">
            <w:pPr>
              <w:jc w:val="center"/>
              <w:rPr>
                <w:rFonts w:ascii="Verdana" w:hAnsi="Verdana" w:cs="Arial"/>
                <w:sz w:val="18"/>
                <w:szCs w:val="18"/>
              </w:rPr>
            </w:pPr>
            <m:oMath>
              <m:r>
                <m:rPr>
                  <m:sty m:val="p"/>
                </m:rPr>
                <w:rPr>
                  <w:rFonts w:ascii="Cambria Math" w:hAnsi="Cambria Math" w:cs="Arial"/>
                  <w:sz w:val="18"/>
                  <w:szCs w:val="18"/>
                </w:rPr>
                <m:t xml:space="preserve">≤ </m:t>
              </m:r>
            </m:oMath>
            <w:r w:rsidR="002475FA" w:rsidRPr="006168D4">
              <w:rPr>
                <w:rFonts w:ascii="Verdana" w:hAnsi="Verdana" w:cs="Arial"/>
                <w:sz w:val="18"/>
                <w:szCs w:val="18"/>
              </w:rPr>
              <w:t>0,70</w:t>
            </w:r>
          </w:p>
        </w:tc>
      </w:tr>
      <w:tr w:rsidR="00C5162A" w:rsidRPr="006168D4" w14:paraId="74F2E25C" w14:textId="77777777" w:rsidTr="6CF4BAE8">
        <w:trPr>
          <w:trHeight w:val="20"/>
          <w:jc w:val="center"/>
        </w:trPr>
        <w:tc>
          <w:tcPr>
            <w:tcW w:w="2689" w:type="dxa"/>
            <w:vAlign w:val="center"/>
          </w:tcPr>
          <w:p w14:paraId="772E04CD" w14:textId="0A1D70F3" w:rsidR="0006093E" w:rsidRPr="006168D4" w:rsidRDefault="0006093E" w:rsidP="00E64CF9">
            <w:pPr>
              <w:jc w:val="center"/>
              <w:rPr>
                <w:rFonts w:ascii="Verdana" w:hAnsi="Verdana" w:cs="Arial"/>
                <w:sz w:val="18"/>
                <w:szCs w:val="18"/>
              </w:rPr>
            </w:pPr>
            <w:r w:rsidRPr="006168D4">
              <w:rPr>
                <w:rFonts w:ascii="Verdana" w:hAnsi="Verdana" w:cs="Arial"/>
                <w:sz w:val="18"/>
                <w:szCs w:val="18"/>
              </w:rPr>
              <w:t xml:space="preserve">Razón de </w:t>
            </w:r>
            <w:r w:rsidR="00314A43" w:rsidRPr="006168D4">
              <w:rPr>
                <w:rFonts w:ascii="Verdana" w:hAnsi="Verdana" w:cs="Arial"/>
                <w:sz w:val="18"/>
                <w:szCs w:val="18"/>
              </w:rPr>
              <w:t>c</w:t>
            </w:r>
            <w:r w:rsidRPr="006168D4">
              <w:rPr>
                <w:rFonts w:ascii="Verdana" w:hAnsi="Verdana" w:cs="Arial"/>
                <w:sz w:val="18"/>
                <w:szCs w:val="18"/>
              </w:rPr>
              <w:t xml:space="preserve">obertura de </w:t>
            </w:r>
            <w:r w:rsidR="00314A43" w:rsidRPr="006168D4">
              <w:rPr>
                <w:rFonts w:ascii="Verdana" w:hAnsi="Verdana" w:cs="Arial"/>
                <w:sz w:val="18"/>
                <w:szCs w:val="18"/>
              </w:rPr>
              <w:t>i</w:t>
            </w:r>
            <w:r w:rsidRPr="006168D4">
              <w:rPr>
                <w:rFonts w:ascii="Verdana" w:hAnsi="Verdana" w:cs="Arial"/>
                <w:sz w:val="18"/>
                <w:szCs w:val="18"/>
              </w:rPr>
              <w:t>ntereses</w:t>
            </w:r>
          </w:p>
        </w:tc>
        <w:tc>
          <w:tcPr>
            <w:tcW w:w="2268" w:type="dxa"/>
            <w:vAlign w:val="center"/>
          </w:tcPr>
          <w:p w14:paraId="3B7B349E" w14:textId="77777777" w:rsidR="0006093E" w:rsidRPr="006168D4" w:rsidRDefault="0006093E" w:rsidP="00E64CF9">
            <w:pPr>
              <w:jc w:val="center"/>
              <w:rPr>
                <w:rFonts w:ascii="Verdana" w:eastAsiaTheme="minorEastAsia" w:hAnsi="Verdana" w:cs="Arial"/>
                <w:bCs/>
                <w:sz w:val="18"/>
                <w:szCs w:val="18"/>
              </w:rPr>
            </w:pPr>
          </w:p>
          <w:p w14:paraId="58C411FC" w14:textId="38FF7833" w:rsidR="0006093E" w:rsidRPr="00BE2FAB" w:rsidRDefault="6CF4BAE8" w:rsidP="00BE2FAB">
            <w:pPr>
              <w:jc w:val="center"/>
              <w:rPr>
                <w:rFonts w:ascii="Verdana" w:eastAsia="Cambria Math" w:hAnsi="Verdana" w:cs="Cambria Math"/>
                <w:color w:val="000000"/>
                <w:sz w:val="18"/>
                <w:szCs w:val="18"/>
              </w:rPr>
            </w:pPr>
            <w:r w:rsidRPr="006168D4">
              <w:rPr>
                <w:rFonts w:ascii="Verdana" w:eastAsia="Cambria Math" w:hAnsi="Verdana" w:cs="Cambria Math"/>
                <w:color w:val="000000"/>
                <w:sz w:val="18"/>
                <w:szCs w:val="18"/>
              </w:rPr>
              <w:t xml:space="preserve">≥ </w:t>
            </w:r>
            <w:r w:rsidR="00DC15A4" w:rsidRPr="006168D4">
              <w:rPr>
                <w:rFonts w:ascii="Verdana" w:eastAsia="Cambria Math" w:hAnsi="Verdana" w:cs="Cambria Math"/>
                <w:color w:val="000000"/>
                <w:sz w:val="18"/>
                <w:szCs w:val="18"/>
              </w:rPr>
              <w:t>1</w:t>
            </w:r>
          </w:p>
        </w:tc>
      </w:tr>
      <w:tr w:rsidR="00C5162A" w:rsidRPr="006168D4" w14:paraId="0B174166" w14:textId="77777777" w:rsidTr="6CF4BAE8">
        <w:trPr>
          <w:trHeight w:val="20"/>
          <w:jc w:val="center"/>
        </w:trPr>
        <w:tc>
          <w:tcPr>
            <w:tcW w:w="2689" w:type="dxa"/>
            <w:vAlign w:val="center"/>
          </w:tcPr>
          <w:p w14:paraId="3079B4E8" w14:textId="2682C7B0" w:rsidR="0006093E" w:rsidRPr="006168D4" w:rsidRDefault="0006093E" w:rsidP="00E64CF9">
            <w:pPr>
              <w:jc w:val="center"/>
              <w:rPr>
                <w:rFonts w:ascii="Verdana" w:hAnsi="Verdana" w:cs="Arial"/>
                <w:sz w:val="18"/>
                <w:szCs w:val="18"/>
              </w:rPr>
            </w:pPr>
            <w:r w:rsidRPr="006168D4">
              <w:rPr>
                <w:rFonts w:ascii="Verdana" w:hAnsi="Verdana" w:cs="Arial"/>
                <w:sz w:val="18"/>
                <w:szCs w:val="18"/>
              </w:rPr>
              <w:t xml:space="preserve">Capital de </w:t>
            </w:r>
            <w:r w:rsidR="00314A43" w:rsidRPr="006168D4">
              <w:rPr>
                <w:rFonts w:ascii="Verdana" w:hAnsi="Verdana" w:cs="Arial"/>
                <w:sz w:val="18"/>
                <w:szCs w:val="18"/>
              </w:rPr>
              <w:t>t</w:t>
            </w:r>
            <w:r w:rsidRPr="006168D4">
              <w:rPr>
                <w:rFonts w:ascii="Verdana" w:hAnsi="Verdana" w:cs="Arial"/>
                <w:sz w:val="18"/>
                <w:szCs w:val="18"/>
              </w:rPr>
              <w:t>rabajo</w:t>
            </w:r>
          </w:p>
        </w:tc>
        <w:tc>
          <w:tcPr>
            <w:tcW w:w="2268" w:type="dxa"/>
            <w:vAlign w:val="center"/>
          </w:tcPr>
          <w:p w14:paraId="1A4CB061" w14:textId="5D0D58E4" w:rsidR="0006093E" w:rsidRPr="006168D4" w:rsidRDefault="0006093E" w:rsidP="00BE2FAB">
            <w:pPr>
              <w:jc w:val="center"/>
              <w:rPr>
                <w:rFonts w:ascii="Verdana" w:hAnsi="Verdana" w:cs="Arial"/>
                <w:bCs/>
                <w:sz w:val="18"/>
                <w:szCs w:val="18"/>
              </w:rPr>
            </w:pPr>
            <w:r w:rsidRPr="006168D4">
              <w:rPr>
                <w:rFonts w:ascii="Verdana" w:hAnsi="Verdana" w:cs="Arial"/>
                <w:bCs/>
                <w:sz w:val="18"/>
                <w:szCs w:val="18"/>
              </w:rPr>
              <w:t xml:space="preserve">Definido en </w:t>
            </w:r>
            <w:r w:rsidR="00314A43" w:rsidRPr="006168D4">
              <w:rPr>
                <w:rFonts w:ascii="Verdana" w:hAnsi="Verdana" w:cs="Arial"/>
                <w:bCs/>
                <w:sz w:val="18"/>
                <w:szCs w:val="18"/>
              </w:rPr>
              <w:t>la invitación</w:t>
            </w:r>
          </w:p>
        </w:tc>
      </w:tr>
    </w:tbl>
    <w:p w14:paraId="1858B14E" w14:textId="77777777" w:rsidR="0006093E" w:rsidRPr="006168D4" w:rsidRDefault="0006093E" w:rsidP="0006093E">
      <w:pPr>
        <w:jc w:val="both"/>
        <w:rPr>
          <w:rFonts w:ascii="Verdana" w:hAnsi="Verdana" w:cs="Arial"/>
          <w:sz w:val="20"/>
          <w:szCs w:val="20"/>
          <w:lang w:val="es-419"/>
        </w:rPr>
      </w:pPr>
    </w:p>
    <w:p w14:paraId="71F48E13" w14:textId="7CAD5F0C" w:rsidR="0006093E" w:rsidRPr="006168D4" w:rsidRDefault="6CF4BAE8" w:rsidP="00502D6A">
      <w:pPr>
        <w:jc w:val="both"/>
        <w:rPr>
          <w:rFonts w:ascii="Verdana" w:eastAsia="Arial" w:hAnsi="Verdana" w:cs="Arial"/>
          <w:color w:val="000000"/>
          <w:sz w:val="20"/>
          <w:szCs w:val="20"/>
          <w:lang w:val="es-419"/>
        </w:rPr>
      </w:pPr>
      <w:r w:rsidRPr="006168D4">
        <w:rPr>
          <w:rFonts w:ascii="Verdana" w:eastAsia="Arial" w:hAnsi="Verdana" w:cs="Arial"/>
          <w:color w:val="000000"/>
          <w:sz w:val="20"/>
          <w:szCs w:val="20"/>
          <w:lang w:val="es-419"/>
        </w:rPr>
        <w:t>Tratándose de Proponente Plurales estos indicadores solo se aplicarán si por lo menos uno de los integrantes acredita la calidad de Mipyme, de conformidad con el artículo 2.2.1.2.4.2.4. del Decreto 1082 de 2015, o las normas que los modifiquen, sustituyan o complementen, y tienen una participación igual o superior al diez por ciento (10</w:t>
      </w:r>
      <w:r w:rsidR="00E65C24" w:rsidRPr="006168D4">
        <w:rPr>
          <w:rFonts w:ascii="Verdana" w:eastAsia="Arial" w:hAnsi="Verdana" w:cs="Arial"/>
          <w:color w:val="000000"/>
          <w:sz w:val="20"/>
          <w:szCs w:val="20"/>
          <w:lang w:val="es-419"/>
        </w:rPr>
        <w:t xml:space="preserve"> </w:t>
      </w:r>
      <w:r w:rsidRPr="006168D4">
        <w:rPr>
          <w:rFonts w:ascii="Verdana" w:eastAsia="Arial" w:hAnsi="Verdana" w:cs="Arial"/>
          <w:color w:val="000000"/>
          <w:sz w:val="20"/>
          <w:szCs w:val="20"/>
          <w:lang w:val="es-419"/>
        </w:rPr>
        <w:t xml:space="preserve">%) en el </w:t>
      </w:r>
      <w:r w:rsidR="00E51C43" w:rsidRPr="006168D4">
        <w:rPr>
          <w:rFonts w:ascii="Verdana" w:eastAsia="Arial" w:hAnsi="Verdana" w:cs="Arial"/>
          <w:color w:val="000000"/>
          <w:sz w:val="20"/>
          <w:szCs w:val="20"/>
          <w:lang w:val="es-419"/>
        </w:rPr>
        <w:t>C</w:t>
      </w:r>
      <w:r w:rsidRPr="006168D4">
        <w:rPr>
          <w:rFonts w:ascii="Verdana" w:eastAsia="Arial" w:hAnsi="Verdana" w:cs="Arial"/>
          <w:color w:val="000000"/>
          <w:sz w:val="20"/>
          <w:szCs w:val="20"/>
          <w:lang w:val="es-419"/>
        </w:rPr>
        <w:t xml:space="preserve">onsorcio o </w:t>
      </w:r>
      <w:r w:rsidR="00E51C43" w:rsidRPr="006168D4">
        <w:rPr>
          <w:rFonts w:ascii="Verdana" w:eastAsia="Arial" w:hAnsi="Verdana" w:cs="Arial"/>
          <w:color w:val="000000"/>
          <w:sz w:val="20"/>
          <w:szCs w:val="20"/>
          <w:lang w:val="es-419"/>
        </w:rPr>
        <w:t xml:space="preserve">en </w:t>
      </w:r>
      <w:r w:rsidRPr="006168D4">
        <w:rPr>
          <w:rFonts w:ascii="Verdana" w:eastAsia="Arial" w:hAnsi="Verdana" w:cs="Arial"/>
          <w:color w:val="000000"/>
          <w:sz w:val="20"/>
          <w:szCs w:val="20"/>
          <w:lang w:val="es-419"/>
        </w:rPr>
        <w:t xml:space="preserve">la </w:t>
      </w:r>
      <w:r w:rsidR="00E51C43" w:rsidRPr="006168D4">
        <w:rPr>
          <w:rFonts w:ascii="Verdana" w:eastAsia="Arial" w:hAnsi="Verdana" w:cs="Arial"/>
          <w:color w:val="000000"/>
          <w:sz w:val="20"/>
          <w:szCs w:val="20"/>
          <w:lang w:val="es-419"/>
        </w:rPr>
        <w:t>U</w:t>
      </w:r>
      <w:r w:rsidRPr="006168D4">
        <w:rPr>
          <w:rFonts w:ascii="Verdana" w:eastAsia="Arial" w:hAnsi="Verdana" w:cs="Arial"/>
          <w:color w:val="000000"/>
          <w:sz w:val="20"/>
          <w:szCs w:val="20"/>
          <w:lang w:val="es-419"/>
        </w:rPr>
        <w:t xml:space="preserve">nión </w:t>
      </w:r>
      <w:r w:rsidR="00E51C43" w:rsidRPr="006168D4">
        <w:rPr>
          <w:rFonts w:ascii="Verdana" w:eastAsia="Arial" w:hAnsi="Verdana" w:cs="Arial"/>
          <w:color w:val="000000"/>
          <w:sz w:val="20"/>
          <w:szCs w:val="20"/>
          <w:lang w:val="es-419"/>
        </w:rPr>
        <w:t>T</w:t>
      </w:r>
      <w:r w:rsidRPr="006168D4">
        <w:rPr>
          <w:rFonts w:ascii="Verdana" w:eastAsia="Arial" w:hAnsi="Verdana" w:cs="Arial"/>
          <w:color w:val="000000"/>
          <w:sz w:val="20"/>
          <w:szCs w:val="20"/>
          <w:lang w:val="es-419"/>
        </w:rPr>
        <w:t>emporal.</w:t>
      </w:r>
    </w:p>
    <w:p w14:paraId="75C8BF94" w14:textId="0B69B683" w:rsidR="0006093E" w:rsidRPr="006168D4" w:rsidRDefault="0006093E" w:rsidP="008E0590">
      <w:pPr>
        <w:ind w:left="360"/>
        <w:jc w:val="both"/>
        <w:rPr>
          <w:rFonts w:ascii="Verdana" w:eastAsia="Arial" w:hAnsi="Verdana" w:cs="Arial"/>
          <w:color w:val="000000"/>
          <w:sz w:val="20"/>
          <w:szCs w:val="20"/>
          <w:lang w:val="es-419"/>
        </w:rPr>
      </w:pPr>
    </w:p>
    <w:p w14:paraId="3A405F45" w14:textId="1A68910F" w:rsidR="0006093E" w:rsidRPr="00BE2FAB" w:rsidRDefault="6CF4BAE8" w:rsidP="00BE2FAB">
      <w:pPr>
        <w:jc w:val="both"/>
        <w:rPr>
          <w:rFonts w:ascii="Verdana" w:eastAsia="Arial" w:hAnsi="Verdana" w:cs="Arial"/>
          <w:color w:val="000000"/>
          <w:sz w:val="20"/>
          <w:szCs w:val="20"/>
          <w:lang w:val="es-419"/>
        </w:rPr>
      </w:pPr>
      <w:r w:rsidRPr="006168D4">
        <w:rPr>
          <w:rFonts w:ascii="Verdana" w:eastAsia="Arial" w:hAnsi="Verdana" w:cs="Arial"/>
          <w:color w:val="000000"/>
          <w:sz w:val="20"/>
          <w:szCs w:val="20"/>
          <w:lang w:val="es-419"/>
        </w:rPr>
        <w:t>Para acreditar la calidad de Mipyme</w:t>
      </w:r>
      <w:r w:rsidR="007E2282" w:rsidRPr="006168D4">
        <w:rPr>
          <w:rFonts w:ascii="Verdana" w:eastAsia="Arial" w:hAnsi="Verdana" w:cs="Arial"/>
          <w:color w:val="000000"/>
          <w:sz w:val="20"/>
          <w:szCs w:val="20"/>
          <w:lang w:val="es-419"/>
        </w:rPr>
        <w:t>,</w:t>
      </w:r>
      <w:r w:rsidRPr="006168D4">
        <w:rPr>
          <w:rFonts w:ascii="Verdana" w:eastAsia="Arial" w:hAnsi="Verdana" w:cs="Arial"/>
          <w:color w:val="000000"/>
          <w:sz w:val="20"/>
          <w:szCs w:val="20"/>
          <w:lang w:val="es-419"/>
        </w:rPr>
        <w:t xml:space="preserve"> el Proponente deberá diligenciar el “Formato </w:t>
      </w:r>
      <w:r w:rsidR="00E11B7E" w:rsidRPr="006168D4">
        <w:rPr>
          <w:rFonts w:ascii="Verdana" w:eastAsia="Arial" w:hAnsi="Verdana" w:cs="Arial"/>
          <w:color w:val="000000"/>
          <w:sz w:val="20"/>
          <w:szCs w:val="20"/>
          <w:lang w:val="es-419"/>
        </w:rPr>
        <w:t>9</w:t>
      </w:r>
      <w:r w:rsidRPr="006168D4">
        <w:rPr>
          <w:rFonts w:ascii="Verdana" w:eastAsia="Arial" w:hAnsi="Verdana" w:cs="Arial"/>
          <w:color w:val="000000"/>
          <w:sz w:val="20"/>
          <w:szCs w:val="20"/>
          <w:lang w:val="es-419"/>
        </w:rPr>
        <w:t xml:space="preserve"> - Acreditación de Mipyme” y aportar la documentación requerida en el artículo 2.2.1.2.4.2.4. del Decreto 1082 de 2015, o la norma que lo modifique, complemente o sustituya. </w:t>
      </w:r>
      <w:r w:rsidR="52B02F48" w:rsidRPr="006168D4">
        <w:rPr>
          <w:rFonts w:ascii="Verdana" w:eastAsia="Arial" w:hAnsi="Verdana" w:cs="Arial"/>
          <w:color w:val="000000"/>
          <w:sz w:val="20"/>
          <w:szCs w:val="20"/>
          <w:lang w:val="es-419"/>
        </w:rPr>
        <w:t>En caso de que la condición de Mipyme se pruebe con la presentación del RUP, en los términos contemplados en el artículo 2.2.1.2.4.2.4 del Decreto 1082 de 2015, no será necesario presentar el formato indicado</w:t>
      </w:r>
      <w:r w:rsidR="00F06E12" w:rsidRPr="006168D4">
        <w:rPr>
          <w:rFonts w:ascii="Verdana" w:eastAsia="Arial" w:hAnsi="Verdana" w:cs="Arial"/>
          <w:color w:val="000000"/>
          <w:sz w:val="20"/>
          <w:szCs w:val="20"/>
          <w:lang w:val="es-419"/>
        </w:rPr>
        <w:t>, ni los sopor</w:t>
      </w:r>
      <w:r w:rsidR="000352B0" w:rsidRPr="006168D4">
        <w:rPr>
          <w:rFonts w:ascii="Verdana" w:eastAsia="Arial" w:hAnsi="Verdana" w:cs="Arial"/>
          <w:color w:val="000000"/>
          <w:sz w:val="20"/>
          <w:szCs w:val="20"/>
          <w:lang w:val="es-419"/>
        </w:rPr>
        <w:t>tes requeridos en el mencionado artículo.</w:t>
      </w:r>
      <w:r w:rsidR="52B02F48" w:rsidRPr="006168D4">
        <w:rPr>
          <w:rFonts w:ascii="Verdana" w:eastAsia="Arial" w:hAnsi="Verdana" w:cs="Arial"/>
          <w:color w:val="000000"/>
          <w:sz w:val="20"/>
          <w:szCs w:val="20"/>
          <w:lang w:val="es-419"/>
        </w:rPr>
        <w:t xml:space="preserve">  </w:t>
      </w:r>
    </w:p>
    <w:p w14:paraId="10685E97" w14:textId="77777777" w:rsidR="00AF4780" w:rsidRPr="006168D4" w:rsidRDefault="00AF4780" w:rsidP="0006093E">
      <w:pPr>
        <w:rPr>
          <w:rFonts w:ascii="Verdana" w:hAnsi="Verdana"/>
          <w:color w:val="1A1818" w:themeColor="text1"/>
        </w:rPr>
      </w:pPr>
    </w:p>
    <w:p w14:paraId="50FE0371" w14:textId="67F8A304" w:rsidR="00B9079B" w:rsidRPr="006168D4" w:rsidRDefault="6CF4BAE8" w:rsidP="008E0590">
      <w:pPr>
        <w:pStyle w:val="Prrafodelista"/>
        <w:numPr>
          <w:ilvl w:val="0"/>
          <w:numId w:val="1"/>
        </w:numPr>
        <w:ind w:left="360"/>
        <w:jc w:val="both"/>
        <w:rPr>
          <w:rFonts w:ascii="Verdana" w:eastAsiaTheme="minorEastAsia" w:hAnsi="Verdana"/>
          <w:i/>
          <w:iCs/>
          <w:color w:val="000000"/>
          <w:sz w:val="20"/>
          <w:szCs w:val="20"/>
        </w:rPr>
      </w:pPr>
      <w:r w:rsidRPr="006168D4">
        <w:rPr>
          <w:rFonts w:ascii="Verdana" w:eastAsia="Arial" w:hAnsi="Verdana" w:cs="Arial"/>
          <w:i/>
          <w:iCs/>
          <w:color w:val="000000"/>
          <w:sz w:val="20"/>
          <w:szCs w:val="20"/>
          <w:lang w:val="es-419"/>
        </w:rPr>
        <w:t xml:space="preserve">Índices de capacidad financiera para </w:t>
      </w:r>
      <w:r w:rsidR="2AC0ECCE" w:rsidRPr="006168D4">
        <w:rPr>
          <w:rFonts w:ascii="Verdana" w:eastAsia="Arial" w:hAnsi="Verdana" w:cs="Arial"/>
          <w:i/>
          <w:iCs/>
          <w:color w:val="000000"/>
          <w:sz w:val="20"/>
          <w:szCs w:val="20"/>
          <w:lang w:val="es-419"/>
        </w:rPr>
        <w:t>los demás Proponentes</w:t>
      </w:r>
    </w:p>
    <w:p w14:paraId="70AFBE7B" w14:textId="6F537979" w:rsidR="44180314" w:rsidRPr="006168D4" w:rsidRDefault="44180314" w:rsidP="003D100C">
      <w:pPr>
        <w:jc w:val="both"/>
        <w:rPr>
          <w:rFonts w:ascii="Verdana" w:eastAsiaTheme="minorEastAsia" w:hAnsi="Verdana"/>
          <w:color w:val="000000"/>
          <w:sz w:val="20"/>
          <w:szCs w:val="20"/>
        </w:rPr>
      </w:pPr>
    </w:p>
    <w:p w14:paraId="5685F1F5" w14:textId="125EB087" w:rsidR="44180314" w:rsidRPr="00BE2FAB" w:rsidRDefault="56195C9A" w:rsidP="44180314">
      <w:pPr>
        <w:jc w:val="both"/>
        <w:rPr>
          <w:rFonts w:ascii="Verdana" w:eastAsia="Arial" w:hAnsi="Verdana" w:cs="Arial"/>
          <w:sz w:val="20"/>
          <w:szCs w:val="20"/>
          <w:lang w:val="es-419"/>
        </w:rPr>
      </w:pPr>
      <w:r w:rsidRPr="006168D4">
        <w:rPr>
          <w:rFonts w:ascii="Verdana" w:eastAsia="Arial" w:hAnsi="Verdana" w:cs="Arial"/>
          <w:sz w:val="20"/>
          <w:szCs w:val="20"/>
          <w:lang w:val="es-419"/>
        </w:rPr>
        <w:t xml:space="preserve">Los Proponentes que </w:t>
      </w:r>
      <w:r w:rsidRPr="006168D4">
        <w:rPr>
          <w:rFonts w:ascii="Verdana" w:eastAsia="Arial" w:hAnsi="Verdana" w:cs="Arial"/>
          <w:b/>
          <w:bCs/>
          <w:sz w:val="20"/>
          <w:szCs w:val="20"/>
          <w:u w:val="single"/>
          <w:lang w:val="es-419"/>
        </w:rPr>
        <w:t>NO</w:t>
      </w:r>
      <w:r w:rsidRPr="006168D4">
        <w:rPr>
          <w:rFonts w:ascii="Verdana" w:eastAsia="Arial" w:hAnsi="Verdana" w:cs="Arial"/>
          <w:sz w:val="20"/>
          <w:szCs w:val="20"/>
          <w:lang w:val="es-419"/>
        </w:rPr>
        <w:t xml:space="preserve"> demuestren la condición de Mipyme, de conformidad con lo previsto en el artículo 2.2.1.2.4.2.4. del Decreto 1082 de 2015, </w:t>
      </w:r>
      <w:r w:rsidRPr="006168D4">
        <w:rPr>
          <w:rFonts w:ascii="Verdana" w:eastAsia="Arial" w:hAnsi="Verdana" w:cs="Arial"/>
          <w:sz w:val="20"/>
          <w:szCs w:val="20"/>
          <w:lang w:val="es"/>
        </w:rPr>
        <w:t xml:space="preserve">en concordancia con el parágrafo del artículo 2.2.1.13.2.4 del Decreto 1074 de 2015 </w:t>
      </w:r>
      <w:r w:rsidRPr="006168D4">
        <w:rPr>
          <w:rFonts w:ascii="Verdana" w:eastAsia="Arial" w:hAnsi="Verdana" w:cs="Arial"/>
          <w:sz w:val="20"/>
          <w:szCs w:val="20"/>
          <w:lang w:val="es-419"/>
        </w:rPr>
        <w:t>o las normas que los modifiquen, sustituyan o complementen, acreditarán los siguientes indicadores:</w:t>
      </w:r>
    </w:p>
    <w:p w14:paraId="1FE2A6FF" w14:textId="605A3347" w:rsidR="00B9079B" w:rsidRPr="006168D4" w:rsidRDefault="00B9079B" w:rsidP="008E0590">
      <w:pPr>
        <w:jc w:val="center"/>
        <w:rPr>
          <w:rFonts w:ascii="Verdana" w:eastAsia="Arial" w:hAnsi="Verdana" w:cs="Arial"/>
          <w:color w:val="000000"/>
          <w:sz w:val="20"/>
          <w:szCs w:val="20"/>
        </w:rPr>
      </w:pPr>
    </w:p>
    <w:tbl>
      <w:tblPr>
        <w:tblStyle w:val="Tablaconcuadrcula"/>
        <w:tblW w:w="0" w:type="auto"/>
        <w:jc w:val="center"/>
        <w:tblLayout w:type="fixed"/>
        <w:tblLook w:val="0000" w:firstRow="0" w:lastRow="0" w:firstColumn="0" w:lastColumn="0" w:noHBand="0" w:noVBand="0"/>
      </w:tblPr>
      <w:tblGrid>
        <w:gridCol w:w="2685"/>
        <w:gridCol w:w="2265"/>
      </w:tblGrid>
      <w:tr w:rsidR="6CF4BAE8" w:rsidRPr="006168D4" w14:paraId="472339CC" w14:textId="77777777" w:rsidTr="00AF4780">
        <w:trPr>
          <w:trHeight w:val="15"/>
          <w:jc w:val="center"/>
        </w:trPr>
        <w:tc>
          <w:tcPr>
            <w:tcW w:w="2685" w:type="dxa"/>
            <w:tcBorders>
              <w:top w:val="single" w:sz="6" w:space="0" w:color="auto"/>
              <w:left w:val="single" w:sz="6" w:space="0" w:color="auto"/>
              <w:bottom w:val="single" w:sz="6" w:space="0" w:color="auto"/>
              <w:right w:val="single" w:sz="6" w:space="0" w:color="auto"/>
            </w:tcBorders>
            <w:shd w:val="clear" w:color="auto" w:fill="B8B7B7" w:themeFill="accent2" w:themeFillTint="66"/>
            <w:vAlign w:val="center"/>
          </w:tcPr>
          <w:p w14:paraId="60429902" w14:textId="088CAD16" w:rsidR="6CF4BAE8" w:rsidRPr="00AF4780" w:rsidRDefault="6CF4BAE8" w:rsidP="6CF4BAE8">
            <w:pPr>
              <w:ind w:left="174" w:hanging="174"/>
              <w:jc w:val="center"/>
              <w:rPr>
                <w:rFonts w:ascii="Verdana" w:eastAsia="Arial" w:hAnsi="Verdana" w:cs="Arial"/>
                <w:sz w:val="18"/>
                <w:szCs w:val="18"/>
              </w:rPr>
            </w:pPr>
            <w:r w:rsidRPr="00AF4780">
              <w:rPr>
                <w:rFonts w:ascii="Verdana" w:eastAsia="Arial" w:hAnsi="Verdana" w:cs="Arial"/>
                <w:b/>
                <w:bCs/>
                <w:sz w:val="18"/>
                <w:szCs w:val="18"/>
              </w:rPr>
              <w:t>Indicador</w:t>
            </w:r>
          </w:p>
        </w:tc>
        <w:tc>
          <w:tcPr>
            <w:tcW w:w="2265" w:type="dxa"/>
            <w:tcBorders>
              <w:top w:val="single" w:sz="6" w:space="0" w:color="auto"/>
              <w:left w:val="single" w:sz="6" w:space="0" w:color="auto"/>
              <w:bottom w:val="single" w:sz="6" w:space="0" w:color="auto"/>
              <w:right w:val="single" w:sz="6" w:space="0" w:color="auto"/>
            </w:tcBorders>
            <w:shd w:val="clear" w:color="auto" w:fill="B8B7B7" w:themeFill="accent2" w:themeFillTint="66"/>
            <w:vAlign w:val="center"/>
          </w:tcPr>
          <w:p w14:paraId="7DC9916C" w14:textId="1D4439DA" w:rsidR="6CF4BAE8" w:rsidRPr="00AF4780" w:rsidRDefault="6CF4BAE8" w:rsidP="6CF4BAE8">
            <w:pPr>
              <w:ind w:left="174" w:hanging="174"/>
              <w:jc w:val="center"/>
              <w:rPr>
                <w:rFonts w:ascii="Verdana" w:eastAsia="Arial" w:hAnsi="Verdana" w:cs="Arial"/>
                <w:sz w:val="18"/>
                <w:szCs w:val="18"/>
              </w:rPr>
            </w:pPr>
            <w:r w:rsidRPr="00AF4780">
              <w:rPr>
                <w:rFonts w:ascii="Verdana" w:eastAsia="Arial" w:hAnsi="Verdana" w:cs="Arial"/>
                <w:b/>
                <w:bCs/>
                <w:sz w:val="18"/>
                <w:szCs w:val="18"/>
              </w:rPr>
              <w:t>Valor concertado</w:t>
            </w:r>
          </w:p>
        </w:tc>
      </w:tr>
      <w:tr w:rsidR="6CF4BAE8" w:rsidRPr="006168D4" w14:paraId="0783FB42" w14:textId="77777777" w:rsidTr="005E3C30">
        <w:trPr>
          <w:trHeight w:val="219"/>
          <w:jc w:val="center"/>
        </w:trPr>
        <w:tc>
          <w:tcPr>
            <w:tcW w:w="2685" w:type="dxa"/>
            <w:tcBorders>
              <w:top w:val="single" w:sz="6" w:space="0" w:color="auto"/>
              <w:left w:val="single" w:sz="6" w:space="0" w:color="auto"/>
              <w:bottom w:val="single" w:sz="6" w:space="0" w:color="auto"/>
              <w:right w:val="single" w:sz="6" w:space="0" w:color="auto"/>
            </w:tcBorders>
            <w:vAlign w:val="center"/>
          </w:tcPr>
          <w:p w14:paraId="0EE37EE6" w14:textId="077FA336" w:rsidR="6CF4BAE8" w:rsidRPr="006168D4" w:rsidRDefault="6CF4BAE8" w:rsidP="6CF4BAE8">
            <w:pPr>
              <w:jc w:val="center"/>
              <w:rPr>
                <w:rFonts w:ascii="Verdana" w:eastAsia="Arial" w:hAnsi="Verdana" w:cs="Arial"/>
                <w:sz w:val="18"/>
                <w:szCs w:val="18"/>
              </w:rPr>
            </w:pPr>
            <w:r w:rsidRPr="006168D4">
              <w:rPr>
                <w:rFonts w:ascii="Verdana" w:eastAsia="Arial" w:hAnsi="Verdana" w:cs="Arial"/>
                <w:sz w:val="18"/>
                <w:szCs w:val="18"/>
              </w:rPr>
              <w:t>Índice de liquidez</w:t>
            </w:r>
          </w:p>
        </w:tc>
        <w:tc>
          <w:tcPr>
            <w:tcW w:w="2265" w:type="dxa"/>
            <w:tcBorders>
              <w:top w:val="single" w:sz="6" w:space="0" w:color="auto"/>
              <w:left w:val="single" w:sz="6" w:space="0" w:color="auto"/>
              <w:bottom w:val="single" w:sz="6" w:space="0" w:color="auto"/>
              <w:right w:val="single" w:sz="6" w:space="0" w:color="auto"/>
            </w:tcBorders>
            <w:vAlign w:val="center"/>
          </w:tcPr>
          <w:p w14:paraId="79137C2F" w14:textId="4A108D5A" w:rsidR="6CF4BAE8" w:rsidRPr="006168D4" w:rsidRDefault="6CF4BAE8" w:rsidP="005E3C30">
            <w:pPr>
              <w:jc w:val="center"/>
              <w:rPr>
                <w:rFonts w:ascii="Verdana" w:eastAsia="Arial" w:hAnsi="Verdana" w:cs="Arial"/>
                <w:color w:val="000000"/>
                <w:sz w:val="18"/>
                <w:szCs w:val="18"/>
              </w:rPr>
            </w:pPr>
            <w:r w:rsidRPr="006168D4">
              <w:rPr>
                <w:rFonts w:ascii="Verdana" w:eastAsia="Cambria Math" w:hAnsi="Verdana" w:cs="Arial"/>
                <w:i/>
                <w:iCs/>
                <w:color w:val="000000"/>
                <w:sz w:val="18"/>
                <w:szCs w:val="18"/>
              </w:rPr>
              <w:t xml:space="preserve">≥ </w:t>
            </w:r>
            <w:r w:rsidRPr="006168D4">
              <w:rPr>
                <w:rFonts w:ascii="Verdana" w:eastAsia="Arial" w:hAnsi="Verdana" w:cs="Arial"/>
                <w:color w:val="000000"/>
                <w:sz w:val="18"/>
                <w:szCs w:val="18"/>
              </w:rPr>
              <w:t>1,</w:t>
            </w:r>
            <w:r w:rsidR="00F4174C" w:rsidRPr="006168D4">
              <w:rPr>
                <w:rFonts w:ascii="Verdana" w:eastAsia="Arial" w:hAnsi="Verdana" w:cs="Arial"/>
                <w:color w:val="000000"/>
                <w:sz w:val="18"/>
                <w:szCs w:val="18"/>
              </w:rPr>
              <w:t>2</w:t>
            </w:r>
          </w:p>
        </w:tc>
      </w:tr>
      <w:tr w:rsidR="6CF4BAE8" w:rsidRPr="006168D4" w14:paraId="7B591277"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3BD2883C" w14:textId="24D1EC45" w:rsidR="6CF4BAE8" w:rsidRPr="006168D4" w:rsidRDefault="6CF4BAE8" w:rsidP="6CF4BAE8">
            <w:pPr>
              <w:jc w:val="center"/>
              <w:rPr>
                <w:rFonts w:ascii="Verdana" w:eastAsia="Arial" w:hAnsi="Verdana" w:cs="Arial"/>
                <w:sz w:val="18"/>
                <w:szCs w:val="18"/>
              </w:rPr>
            </w:pPr>
            <w:r w:rsidRPr="006168D4">
              <w:rPr>
                <w:rFonts w:ascii="Verdana" w:eastAsia="Arial" w:hAnsi="Verdana" w:cs="Arial"/>
                <w:sz w:val="18"/>
                <w:szCs w:val="18"/>
              </w:rPr>
              <w:t>Índice de endeudamiento</w:t>
            </w:r>
          </w:p>
        </w:tc>
        <w:tc>
          <w:tcPr>
            <w:tcW w:w="2265" w:type="dxa"/>
            <w:tcBorders>
              <w:top w:val="single" w:sz="6" w:space="0" w:color="auto"/>
              <w:left w:val="single" w:sz="6" w:space="0" w:color="auto"/>
              <w:bottom w:val="single" w:sz="6" w:space="0" w:color="auto"/>
              <w:right w:val="single" w:sz="6" w:space="0" w:color="auto"/>
            </w:tcBorders>
            <w:vAlign w:val="center"/>
          </w:tcPr>
          <w:p w14:paraId="484D67AE" w14:textId="2A4BE299" w:rsidR="6CF4BAE8" w:rsidRPr="005E3C30" w:rsidRDefault="6CF4BAE8" w:rsidP="005E3C30">
            <w:pPr>
              <w:jc w:val="center"/>
              <w:rPr>
                <w:rFonts w:ascii="Verdana" w:eastAsia="Cambria Math" w:hAnsi="Verdana" w:cs="Arial"/>
                <w:i/>
                <w:iCs/>
                <w:color w:val="000000"/>
                <w:sz w:val="18"/>
                <w:szCs w:val="18"/>
              </w:rPr>
            </w:pPr>
            <w:r w:rsidRPr="006168D4">
              <w:rPr>
                <w:rFonts w:ascii="Verdana" w:eastAsia="Cambria Math" w:hAnsi="Verdana" w:cs="Arial"/>
                <w:i/>
                <w:iCs/>
                <w:color w:val="000000"/>
                <w:sz w:val="18"/>
                <w:szCs w:val="18"/>
              </w:rPr>
              <w:t xml:space="preserve">≤ </w:t>
            </w:r>
            <w:r w:rsidR="006438D6" w:rsidRPr="006168D4">
              <w:rPr>
                <w:rFonts w:ascii="Verdana" w:eastAsia="Arial" w:hAnsi="Verdana" w:cs="Arial"/>
                <w:sz w:val="18"/>
                <w:szCs w:val="18"/>
              </w:rPr>
              <w:t>0,70</w:t>
            </w:r>
          </w:p>
        </w:tc>
      </w:tr>
      <w:tr w:rsidR="6CF4BAE8" w:rsidRPr="006168D4" w14:paraId="283436AA"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6233D508" w14:textId="2150266A" w:rsidR="6CF4BAE8" w:rsidRPr="006168D4" w:rsidRDefault="005E3C30" w:rsidP="6CF4BAE8">
            <w:pPr>
              <w:jc w:val="center"/>
              <w:rPr>
                <w:rFonts w:ascii="Verdana" w:eastAsia="Arial" w:hAnsi="Verdana" w:cs="Arial"/>
                <w:sz w:val="18"/>
                <w:szCs w:val="18"/>
              </w:rPr>
            </w:pPr>
            <w:r>
              <w:rPr>
                <w:rFonts w:ascii="Verdana" w:eastAsia="Arial" w:hAnsi="Verdana" w:cs="Arial"/>
                <w:sz w:val="18"/>
                <w:szCs w:val="18"/>
              </w:rPr>
              <w:t>R</w:t>
            </w:r>
            <w:r w:rsidR="6CF4BAE8" w:rsidRPr="006168D4">
              <w:rPr>
                <w:rFonts w:ascii="Verdana" w:eastAsia="Arial" w:hAnsi="Verdana" w:cs="Arial"/>
                <w:sz w:val="18"/>
                <w:szCs w:val="18"/>
              </w:rPr>
              <w:t>azón de cobertura de intereses</w:t>
            </w:r>
          </w:p>
        </w:tc>
        <w:tc>
          <w:tcPr>
            <w:tcW w:w="2265" w:type="dxa"/>
            <w:tcBorders>
              <w:top w:val="single" w:sz="6" w:space="0" w:color="auto"/>
              <w:left w:val="single" w:sz="6" w:space="0" w:color="auto"/>
              <w:bottom w:val="single" w:sz="6" w:space="0" w:color="auto"/>
              <w:right w:val="single" w:sz="6" w:space="0" w:color="auto"/>
            </w:tcBorders>
            <w:vAlign w:val="center"/>
          </w:tcPr>
          <w:p w14:paraId="02D212FF" w14:textId="50CF12C9" w:rsidR="6CF4BAE8" w:rsidRPr="00E6011C" w:rsidRDefault="6CF4BAE8" w:rsidP="00E6011C">
            <w:pPr>
              <w:jc w:val="center"/>
              <w:rPr>
                <w:rFonts w:ascii="Verdana" w:hAnsi="Verdana" w:cs="Arial"/>
                <w:sz w:val="18"/>
                <w:szCs w:val="18"/>
              </w:rPr>
            </w:pPr>
            <w:r w:rsidRPr="006168D4">
              <w:rPr>
                <w:rFonts w:ascii="Verdana" w:eastAsia="Cambria Math" w:hAnsi="Verdana" w:cs="Arial"/>
                <w:sz w:val="18"/>
                <w:szCs w:val="18"/>
              </w:rPr>
              <w:t>≥1</w:t>
            </w:r>
          </w:p>
        </w:tc>
      </w:tr>
      <w:tr w:rsidR="6CF4BAE8" w:rsidRPr="006168D4" w14:paraId="7C35625E" w14:textId="77777777" w:rsidTr="008E0590">
        <w:trPr>
          <w:trHeight w:val="15"/>
          <w:jc w:val="center"/>
        </w:trPr>
        <w:tc>
          <w:tcPr>
            <w:tcW w:w="2685" w:type="dxa"/>
            <w:tcBorders>
              <w:top w:val="single" w:sz="6" w:space="0" w:color="auto"/>
              <w:left w:val="single" w:sz="6" w:space="0" w:color="auto"/>
              <w:bottom w:val="single" w:sz="6" w:space="0" w:color="auto"/>
              <w:right w:val="single" w:sz="6" w:space="0" w:color="auto"/>
            </w:tcBorders>
            <w:vAlign w:val="center"/>
          </w:tcPr>
          <w:p w14:paraId="1DB9B664" w14:textId="72556711" w:rsidR="6CF4BAE8" w:rsidRPr="006168D4" w:rsidRDefault="00E6011C" w:rsidP="6CF4BAE8">
            <w:pPr>
              <w:jc w:val="center"/>
              <w:rPr>
                <w:rFonts w:ascii="Verdana" w:eastAsia="Arial" w:hAnsi="Verdana" w:cs="Arial"/>
                <w:sz w:val="18"/>
                <w:szCs w:val="18"/>
              </w:rPr>
            </w:pPr>
            <w:r>
              <w:rPr>
                <w:rFonts w:ascii="Verdana" w:eastAsia="Arial" w:hAnsi="Verdana" w:cs="Arial"/>
                <w:sz w:val="18"/>
                <w:szCs w:val="18"/>
              </w:rPr>
              <w:t>C</w:t>
            </w:r>
            <w:r w:rsidR="6CF4BAE8" w:rsidRPr="006168D4">
              <w:rPr>
                <w:rFonts w:ascii="Verdana" w:eastAsia="Arial" w:hAnsi="Verdana" w:cs="Arial"/>
                <w:sz w:val="18"/>
                <w:szCs w:val="18"/>
              </w:rPr>
              <w:t>apital de trabajo</w:t>
            </w:r>
          </w:p>
        </w:tc>
        <w:tc>
          <w:tcPr>
            <w:tcW w:w="2265" w:type="dxa"/>
            <w:tcBorders>
              <w:top w:val="single" w:sz="6" w:space="0" w:color="auto"/>
              <w:left w:val="single" w:sz="6" w:space="0" w:color="auto"/>
              <w:bottom w:val="single" w:sz="6" w:space="0" w:color="auto"/>
              <w:right w:val="single" w:sz="6" w:space="0" w:color="auto"/>
            </w:tcBorders>
            <w:vAlign w:val="center"/>
          </w:tcPr>
          <w:p w14:paraId="230358D0" w14:textId="37003BB0" w:rsidR="6CF4BAE8" w:rsidRPr="006168D4" w:rsidRDefault="6CF4BAE8" w:rsidP="00E6011C">
            <w:pPr>
              <w:jc w:val="center"/>
              <w:rPr>
                <w:rFonts w:ascii="Verdana" w:eastAsia="Arial" w:hAnsi="Verdana" w:cs="Arial"/>
                <w:sz w:val="18"/>
                <w:szCs w:val="18"/>
              </w:rPr>
            </w:pPr>
            <w:r w:rsidRPr="006168D4">
              <w:rPr>
                <w:rFonts w:ascii="Verdana" w:eastAsia="Arial" w:hAnsi="Verdana" w:cs="Arial"/>
                <w:sz w:val="18"/>
                <w:szCs w:val="18"/>
              </w:rPr>
              <w:t>Definido en la invitación</w:t>
            </w:r>
          </w:p>
        </w:tc>
      </w:tr>
    </w:tbl>
    <w:p w14:paraId="027A3C07" w14:textId="13F1EE40" w:rsidR="00B9079B" w:rsidRPr="006168D4" w:rsidRDefault="00B9079B" w:rsidP="6CF4BAE8">
      <w:pPr>
        <w:jc w:val="both"/>
        <w:rPr>
          <w:rFonts w:ascii="Verdana" w:eastAsia="Arial" w:hAnsi="Verdana" w:cs="Arial"/>
          <w:color w:val="3A3939" w:themeColor="accent2" w:themeShade="BF"/>
          <w:sz w:val="20"/>
          <w:szCs w:val="20"/>
        </w:rPr>
      </w:pPr>
    </w:p>
    <w:p w14:paraId="5D2FAB63" w14:textId="5E10F24C" w:rsidR="00B9079B" w:rsidRPr="006168D4" w:rsidRDefault="6CF4BAE8" w:rsidP="00BE2FAB">
      <w:pPr>
        <w:jc w:val="both"/>
        <w:rPr>
          <w:rFonts w:ascii="Verdana" w:hAnsi="Verdana"/>
          <w:color w:val="1A1818" w:themeColor="text1"/>
          <w:szCs w:val="24"/>
        </w:rPr>
      </w:pPr>
      <w:r w:rsidRPr="006168D4">
        <w:rPr>
          <w:rFonts w:ascii="Verdana" w:eastAsia="Arial" w:hAnsi="Verdana" w:cs="Arial"/>
          <w:color w:val="000000"/>
          <w:sz w:val="20"/>
          <w:szCs w:val="20"/>
          <w:lang w:val="es-419"/>
        </w:rPr>
        <w:t xml:space="preserve">Los indicadores definidos en </w:t>
      </w:r>
      <w:r w:rsidR="00E65C24" w:rsidRPr="006168D4">
        <w:rPr>
          <w:rFonts w:ascii="Verdana" w:eastAsia="Arial" w:hAnsi="Verdana" w:cs="Arial"/>
          <w:color w:val="000000"/>
          <w:sz w:val="20"/>
          <w:szCs w:val="20"/>
          <w:lang w:val="es-419"/>
        </w:rPr>
        <w:t xml:space="preserve">esta </w:t>
      </w:r>
      <w:r w:rsidRPr="006168D4">
        <w:rPr>
          <w:rFonts w:ascii="Verdana" w:eastAsia="Arial" w:hAnsi="Verdana" w:cs="Arial"/>
          <w:color w:val="000000"/>
          <w:sz w:val="20"/>
          <w:szCs w:val="20"/>
          <w:lang w:val="es-419"/>
        </w:rPr>
        <w:t xml:space="preserve">matriz deben ser usados por las </w:t>
      </w:r>
      <w:r w:rsidR="00A827D8" w:rsidRPr="006168D4">
        <w:rPr>
          <w:rFonts w:ascii="Verdana" w:eastAsia="Arial" w:hAnsi="Verdana" w:cs="Arial"/>
          <w:color w:val="000000"/>
          <w:sz w:val="20"/>
          <w:szCs w:val="20"/>
          <w:lang w:val="es-419"/>
        </w:rPr>
        <w:t>E</w:t>
      </w:r>
      <w:r w:rsidRPr="006168D4">
        <w:rPr>
          <w:rFonts w:ascii="Verdana" w:eastAsia="Arial" w:hAnsi="Verdana" w:cs="Arial"/>
          <w:color w:val="000000"/>
          <w:sz w:val="20"/>
          <w:szCs w:val="20"/>
          <w:lang w:val="es-419"/>
        </w:rPr>
        <w:t xml:space="preserve">ntidades en la estructuración de los Documentos del </w:t>
      </w:r>
      <w:r w:rsidR="00A827D8" w:rsidRPr="006168D4">
        <w:rPr>
          <w:rFonts w:ascii="Verdana" w:eastAsia="Arial" w:hAnsi="Verdana" w:cs="Arial"/>
          <w:color w:val="000000"/>
          <w:sz w:val="20"/>
          <w:szCs w:val="20"/>
          <w:lang w:val="es-419"/>
        </w:rPr>
        <w:t>P</w:t>
      </w:r>
      <w:r w:rsidRPr="006168D4">
        <w:rPr>
          <w:rFonts w:ascii="Verdana" w:eastAsia="Arial" w:hAnsi="Verdana" w:cs="Arial"/>
          <w:color w:val="000000"/>
          <w:sz w:val="20"/>
          <w:szCs w:val="20"/>
          <w:lang w:val="es-419"/>
        </w:rPr>
        <w:t xml:space="preserve">roceso de </w:t>
      </w:r>
      <w:r w:rsidR="00A827D8" w:rsidRPr="006168D4">
        <w:rPr>
          <w:rFonts w:ascii="Verdana" w:eastAsia="Arial" w:hAnsi="Verdana" w:cs="Arial"/>
          <w:color w:val="000000"/>
          <w:sz w:val="20"/>
          <w:szCs w:val="20"/>
          <w:lang w:val="es-419"/>
        </w:rPr>
        <w:t>C</w:t>
      </w:r>
      <w:r w:rsidRPr="006168D4">
        <w:rPr>
          <w:rFonts w:ascii="Verdana" w:eastAsia="Arial" w:hAnsi="Verdana" w:cs="Arial"/>
          <w:color w:val="000000"/>
          <w:sz w:val="20"/>
          <w:szCs w:val="20"/>
          <w:lang w:val="es-419"/>
        </w:rPr>
        <w:t xml:space="preserve">ontratación de mínima cuantía de obra pública para infraestructura </w:t>
      </w:r>
      <w:r w:rsidR="00A82D16" w:rsidRPr="006168D4">
        <w:rPr>
          <w:rFonts w:ascii="Verdana" w:eastAsia="Arial" w:hAnsi="Verdana" w:cs="Arial"/>
          <w:color w:val="000000"/>
          <w:sz w:val="20"/>
          <w:szCs w:val="20"/>
          <w:lang w:val="es-419"/>
        </w:rPr>
        <w:t>social</w:t>
      </w:r>
      <w:r w:rsidRPr="006168D4">
        <w:rPr>
          <w:rFonts w:ascii="Verdana" w:eastAsia="Arial" w:hAnsi="Verdana" w:cs="Arial"/>
          <w:color w:val="000000"/>
          <w:sz w:val="20"/>
          <w:szCs w:val="20"/>
          <w:lang w:val="es-419"/>
        </w:rPr>
        <w:t>.</w:t>
      </w:r>
    </w:p>
    <w:sectPr w:rsidR="00B9079B" w:rsidRPr="006168D4" w:rsidSect="00DA02F5">
      <w:headerReference w:type="default" r:id="rId11"/>
      <w:footerReference w:type="default" r:id="rId12"/>
      <w:headerReference w:type="first" r:id="rId13"/>
      <w:footerReference w:type="first" r:id="rId14"/>
      <w:pgSz w:w="12240" w:h="15840" w:code="1"/>
      <w:pgMar w:top="720" w:right="720" w:bottom="720" w:left="720"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CB0B" w14:textId="77777777" w:rsidR="001C6DFF" w:rsidRDefault="001C6DFF" w:rsidP="004F2C35">
      <w:r>
        <w:separator/>
      </w:r>
    </w:p>
  </w:endnote>
  <w:endnote w:type="continuationSeparator" w:id="0">
    <w:p w14:paraId="28EDC08C" w14:textId="77777777" w:rsidR="001C6DFF" w:rsidRDefault="001C6DFF" w:rsidP="004F2C35">
      <w:r>
        <w:continuationSeparator/>
      </w:r>
    </w:p>
  </w:endnote>
  <w:endnote w:type="continuationNotice" w:id="1">
    <w:p w14:paraId="6594A5DA" w14:textId="77777777" w:rsidR="001C6DFF" w:rsidRDefault="001C6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4EA1" w14:textId="77777777" w:rsidR="00C50D27" w:rsidRDefault="00C50D27">
    <w:pPr>
      <w:pStyle w:val="Piedepgina"/>
      <w:jc w:val="right"/>
    </w:pPr>
  </w:p>
  <w:p w14:paraId="68DA6887" w14:textId="725B58CE" w:rsidR="004F2C35" w:rsidRPr="00AF4780" w:rsidRDefault="00AF4780" w:rsidP="00AF4780">
    <w:pPr>
      <w:pStyle w:val="Piedepgina"/>
      <w:jc w:val="right"/>
      <w:rPr>
        <w:rFonts w:ascii="Verdana" w:hAnsi="Verdana"/>
        <w:sz w:val="18"/>
        <w:szCs w:val="16"/>
      </w:rPr>
    </w:pPr>
    <w:r w:rsidRPr="00AF4780">
      <w:rPr>
        <w:rFonts w:ascii="Verdana" w:hAnsi="Verdana"/>
        <w:sz w:val="18"/>
        <w:szCs w:val="16"/>
      </w:rPr>
      <w:t xml:space="preserve">Versión: 1 de </w:t>
    </w:r>
    <w:r w:rsidR="00CA2C6E">
      <w:rPr>
        <w:rFonts w:ascii="Verdana" w:hAnsi="Verdana"/>
        <w:sz w:val="18"/>
        <w:szCs w:val="16"/>
      </w:rPr>
      <w:t>21</w:t>
    </w:r>
    <w:r w:rsidRPr="00AF4780">
      <w:rPr>
        <w:rFonts w:ascii="Verdana" w:hAnsi="Verdana"/>
        <w:sz w:val="18"/>
        <w:szCs w:val="16"/>
      </w:rPr>
      <w:t xml:space="preserve"> de </w:t>
    </w:r>
    <w:r w:rsidR="00CA2C6E">
      <w:rPr>
        <w:rFonts w:ascii="Verdana" w:hAnsi="Verdana"/>
        <w:sz w:val="18"/>
        <w:szCs w:val="16"/>
      </w:rPr>
      <w:t xml:space="preserve">agosto </w:t>
    </w:r>
    <w:r w:rsidR="00CA2C6E" w:rsidRPr="00AF4780">
      <w:rPr>
        <w:rFonts w:ascii="Verdana" w:hAnsi="Verdana"/>
        <w:sz w:val="18"/>
        <w:szCs w:val="16"/>
      </w:rPr>
      <w:t>de</w:t>
    </w:r>
    <w:r w:rsidRPr="00AF4780">
      <w:rPr>
        <w:rFonts w:ascii="Verdana" w:hAnsi="Verdana"/>
        <w:sz w:val="18"/>
        <w:szCs w:val="16"/>
      </w:rPr>
      <w:t xml:space="preserv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1827" w14:textId="77777777" w:rsidR="009A67BC" w:rsidRDefault="7101256D" w:rsidP="009A67BC">
    <w:pPr>
      <w:pStyle w:val="Piedepgina"/>
      <w:jc w:val="center"/>
    </w:pPr>
    <w:r>
      <w:rPr>
        <w:noProof/>
        <w:lang w:val="en-US"/>
      </w:rPr>
      <w:drawing>
        <wp:inline distT="0" distB="0" distL="0" distR="0" wp14:anchorId="3865C6C8" wp14:editId="76BD5DDE">
          <wp:extent cx="1562642" cy="365821"/>
          <wp:effectExtent l="0" t="0" r="0" b="0"/>
          <wp:docPr id="199936964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7101256D" w:rsidP="009A67BC">
    <w:pPr>
      <w:pStyle w:val="Piedepgina"/>
    </w:pPr>
    <w:r>
      <w:rPr>
        <w:noProof/>
        <w:lang w:val="en-US"/>
      </w:rPr>
      <w:drawing>
        <wp:inline distT="0" distB="0" distL="0" distR="0" wp14:anchorId="79301979" wp14:editId="31A9186D">
          <wp:extent cx="5607050" cy="362585"/>
          <wp:effectExtent l="0" t="0" r="6350" b="0"/>
          <wp:docPr id="15706463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727B1" w14:textId="77777777" w:rsidR="001C6DFF" w:rsidRDefault="001C6DFF" w:rsidP="004F2C35">
      <w:r>
        <w:separator/>
      </w:r>
    </w:p>
  </w:footnote>
  <w:footnote w:type="continuationSeparator" w:id="0">
    <w:p w14:paraId="3B3963CA" w14:textId="77777777" w:rsidR="001C6DFF" w:rsidRDefault="001C6DFF" w:rsidP="004F2C35">
      <w:r>
        <w:continuationSeparator/>
      </w:r>
    </w:p>
  </w:footnote>
  <w:footnote w:type="continuationNotice" w:id="1">
    <w:p w14:paraId="1CD84ADD" w14:textId="77777777" w:rsidR="001C6DFF" w:rsidRDefault="001C6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C11F" w14:textId="4068475C" w:rsidR="006D761F" w:rsidRDefault="006168D4" w:rsidP="006168D4">
    <w:pPr>
      <w:jc w:val="center"/>
      <w:rPr>
        <w:rFonts w:ascii="Verdana" w:hAnsi="Verdana" w:cs="Arial"/>
        <w:b/>
        <w:bCs/>
        <w:sz w:val="22"/>
        <w:lang w:val="es-ES"/>
      </w:rPr>
    </w:pPr>
    <w:r w:rsidRPr="006168D4">
      <w:rPr>
        <w:rFonts w:ascii="Verdana" w:hAnsi="Verdana" w:cs="Arial"/>
        <w:b/>
        <w:bCs/>
        <w:sz w:val="22"/>
        <w:lang w:val="es-ES"/>
      </w:rPr>
      <w:t>MÍNIMA CUANTÍA DE INFRAESTRUCTURA SOCIAL</w:t>
    </w:r>
  </w:p>
  <w:p w14:paraId="6D8BE5AB" w14:textId="77777777" w:rsidR="006168D4" w:rsidRPr="006168D4" w:rsidRDefault="006168D4" w:rsidP="006168D4">
    <w:pPr>
      <w:jc w:val="center"/>
      <w:rPr>
        <w:rFonts w:ascii="Verdana" w:hAnsi="Verdana"/>
        <w:color w:val="4E4D4D" w:themeColor="background2"/>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FD42" w14:textId="0AE00ED5"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70D7E"/>
    <w:multiLevelType w:val="hybridMultilevel"/>
    <w:tmpl w:val="BE925CF8"/>
    <w:lvl w:ilvl="0" w:tplc="160C35C2">
      <w:start w:val="2"/>
      <w:numFmt w:val="decimal"/>
      <w:lvlText w:val="%1."/>
      <w:lvlJc w:val="left"/>
      <w:pPr>
        <w:ind w:left="720" w:hanging="360"/>
      </w:pPr>
    </w:lvl>
    <w:lvl w:ilvl="1" w:tplc="C94283FA">
      <w:start w:val="1"/>
      <w:numFmt w:val="lowerLetter"/>
      <w:lvlText w:val="%2."/>
      <w:lvlJc w:val="left"/>
      <w:pPr>
        <w:ind w:left="1440" w:hanging="360"/>
      </w:pPr>
    </w:lvl>
    <w:lvl w:ilvl="2" w:tplc="7DDCCD1A">
      <w:start w:val="1"/>
      <w:numFmt w:val="lowerRoman"/>
      <w:lvlText w:val="%3."/>
      <w:lvlJc w:val="right"/>
      <w:pPr>
        <w:ind w:left="2160" w:hanging="180"/>
      </w:pPr>
    </w:lvl>
    <w:lvl w:ilvl="3" w:tplc="EDEADDC0">
      <w:start w:val="1"/>
      <w:numFmt w:val="decimal"/>
      <w:lvlText w:val="%4."/>
      <w:lvlJc w:val="left"/>
      <w:pPr>
        <w:ind w:left="2880" w:hanging="360"/>
      </w:pPr>
    </w:lvl>
    <w:lvl w:ilvl="4" w:tplc="C1963ECE">
      <w:start w:val="1"/>
      <w:numFmt w:val="lowerLetter"/>
      <w:lvlText w:val="%5."/>
      <w:lvlJc w:val="left"/>
      <w:pPr>
        <w:ind w:left="3600" w:hanging="360"/>
      </w:pPr>
    </w:lvl>
    <w:lvl w:ilvl="5" w:tplc="DA3CC8EA">
      <w:start w:val="1"/>
      <w:numFmt w:val="lowerRoman"/>
      <w:lvlText w:val="%6."/>
      <w:lvlJc w:val="right"/>
      <w:pPr>
        <w:ind w:left="4320" w:hanging="180"/>
      </w:pPr>
    </w:lvl>
    <w:lvl w:ilvl="6" w:tplc="61E6389E">
      <w:start w:val="1"/>
      <w:numFmt w:val="decimal"/>
      <w:lvlText w:val="%7."/>
      <w:lvlJc w:val="left"/>
      <w:pPr>
        <w:ind w:left="5040" w:hanging="360"/>
      </w:pPr>
    </w:lvl>
    <w:lvl w:ilvl="7" w:tplc="6672BE5A">
      <w:start w:val="1"/>
      <w:numFmt w:val="lowerLetter"/>
      <w:lvlText w:val="%8."/>
      <w:lvlJc w:val="left"/>
      <w:pPr>
        <w:ind w:left="5760" w:hanging="360"/>
      </w:pPr>
    </w:lvl>
    <w:lvl w:ilvl="8" w:tplc="0936B9A2">
      <w:start w:val="1"/>
      <w:numFmt w:val="lowerRoman"/>
      <w:lvlText w:val="%9."/>
      <w:lvlJc w:val="right"/>
      <w:pPr>
        <w:ind w:left="6480" w:hanging="180"/>
      </w:pPr>
    </w:lvl>
  </w:abstractNum>
  <w:abstractNum w:abstractNumId="1" w15:restartNumberingAfterBreak="0">
    <w:nsid w:val="171A6F74"/>
    <w:multiLevelType w:val="hybridMultilevel"/>
    <w:tmpl w:val="6D12D6CC"/>
    <w:lvl w:ilvl="0" w:tplc="CE949102">
      <w:start w:val="1"/>
      <w:numFmt w:val="decimal"/>
      <w:lvlText w:val="%1."/>
      <w:lvlJc w:val="left"/>
      <w:pPr>
        <w:ind w:left="720" w:hanging="360"/>
      </w:pPr>
      <w:rPr>
        <w:b/>
        <w:bCs/>
      </w:rPr>
    </w:lvl>
    <w:lvl w:ilvl="1" w:tplc="857E9890">
      <w:start w:val="1"/>
      <w:numFmt w:val="lowerLetter"/>
      <w:lvlText w:val="%2."/>
      <w:lvlJc w:val="left"/>
      <w:pPr>
        <w:ind w:left="1440" w:hanging="360"/>
      </w:pPr>
    </w:lvl>
    <w:lvl w:ilvl="2" w:tplc="69729C36">
      <w:start w:val="1"/>
      <w:numFmt w:val="lowerRoman"/>
      <w:lvlText w:val="%3."/>
      <w:lvlJc w:val="right"/>
      <w:pPr>
        <w:ind w:left="2160" w:hanging="180"/>
      </w:pPr>
    </w:lvl>
    <w:lvl w:ilvl="3" w:tplc="72D25D30">
      <w:start w:val="1"/>
      <w:numFmt w:val="decimal"/>
      <w:lvlText w:val="%4."/>
      <w:lvlJc w:val="left"/>
      <w:pPr>
        <w:ind w:left="2880" w:hanging="360"/>
      </w:pPr>
    </w:lvl>
    <w:lvl w:ilvl="4" w:tplc="59B85CFA">
      <w:start w:val="1"/>
      <w:numFmt w:val="lowerLetter"/>
      <w:lvlText w:val="%5."/>
      <w:lvlJc w:val="left"/>
      <w:pPr>
        <w:ind w:left="3600" w:hanging="360"/>
      </w:pPr>
    </w:lvl>
    <w:lvl w:ilvl="5" w:tplc="80606244">
      <w:start w:val="1"/>
      <w:numFmt w:val="lowerRoman"/>
      <w:lvlText w:val="%6."/>
      <w:lvlJc w:val="right"/>
      <w:pPr>
        <w:ind w:left="4320" w:hanging="180"/>
      </w:pPr>
    </w:lvl>
    <w:lvl w:ilvl="6" w:tplc="4A621F96">
      <w:start w:val="1"/>
      <w:numFmt w:val="decimal"/>
      <w:lvlText w:val="%7."/>
      <w:lvlJc w:val="left"/>
      <w:pPr>
        <w:ind w:left="5040" w:hanging="360"/>
      </w:pPr>
    </w:lvl>
    <w:lvl w:ilvl="7" w:tplc="20A0ED42">
      <w:start w:val="1"/>
      <w:numFmt w:val="lowerLetter"/>
      <w:lvlText w:val="%8."/>
      <w:lvlJc w:val="left"/>
      <w:pPr>
        <w:ind w:left="5760" w:hanging="360"/>
      </w:pPr>
    </w:lvl>
    <w:lvl w:ilvl="8" w:tplc="A222A096">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352B0"/>
    <w:rsid w:val="00042FBC"/>
    <w:rsid w:val="000435F3"/>
    <w:rsid w:val="0006093E"/>
    <w:rsid w:val="00070DEB"/>
    <w:rsid w:val="000746B7"/>
    <w:rsid w:val="00091E6B"/>
    <w:rsid w:val="00095309"/>
    <w:rsid w:val="000A791C"/>
    <w:rsid w:val="000D5640"/>
    <w:rsid w:val="000D7CD2"/>
    <w:rsid w:val="000E0A35"/>
    <w:rsid w:val="0011744E"/>
    <w:rsid w:val="00117459"/>
    <w:rsid w:val="0012108F"/>
    <w:rsid w:val="00127819"/>
    <w:rsid w:val="00140705"/>
    <w:rsid w:val="0014591D"/>
    <w:rsid w:val="001538D1"/>
    <w:rsid w:val="00154ECB"/>
    <w:rsid w:val="00181D75"/>
    <w:rsid w:val="001A1B68"/>
    <w:rsid w:val="001A5E22"/>
    <w:rsid w:val="001C0AA9"/>
    <w:rsid w:val="001C6359"/>
    <w:rsid w:val="001C6DFF"/>
    <w:rsid w:val="001C75B3"/>
    <w:rsid w:val="001D32CE"/>
    <w:rsid w:val="001D7612"/>
    <w:rsid w:val="001E2508"/>
    <w:rsid w:val="001F7199"/>
    <w:rsid w:val="002475FA"/>
    <w:rsid w:val="002535A9"/>
    <w:rsid w:val="002641A7"/>
    <w:rsid w:val="002D0FAF"/>
    <w:rsid w:val="00305CEF"/>
    <w:rsid w:val="00314A43"/>
    <w:rsid w:val="003217CE"/>
    <w:rsid w:val="0034024E"/>
    <w:rsid w:val="003445B6"/>
    <w:rsid w:val="00393537"/>
    <w:rsid w:val="003D100C"/>
    <w:rsid w:val="003E173E"/>
    <w:rsid w:val="003F59C5"/>
    <w:rsid w:val="00436785"/>
    <w:rsid w:val="0044548F"/>
    <w:rsid w:val="00457D43"/>
    <w:rsid w:val="00470102"/>
    <w:rsid w:val="00474EDE"/>
    <w:rsid w:val="00475E7B"/>
    <w:rsid w:val="004A0753"/>
    <w:rsid w:val="004B1B0F"/>
    <w:rsid w:val="004B3047"/>
    <w:rsid w:val="004B62CC"/>
    <w:rsid w:val="004E35BE"/>
    <w:rsid w:val="004E4375"/>
    <w:rsid w:val="004F2C35"/>
    <w:rsid w:val="00502D6A"/>
    <w:rsid w:val="00505968"/>
    <w:rsid w:val="00520C58"/>
    <w:rsid w:val="005225E0"/>
    <w:rsid w:val="00527037"/>
    <w:rsid w:val="005763DD"/>
    <w:rsid w:val="0059060F"/>
    <w:rsid w:val="005C1811"/>
    <w:rsid w:val="005E3C30"/>
    <w:rsid w:val="006168D4"/>
    <w:rsid w:val="0062108E"/>
    <w:rsid w:val="0063033C"/>
    <w:rsid w:val="006319DF"/>
    <w:rsid w:val="006438D6"/>
    <w:rsid w:val="006552B9"/>
    <w:rsid w:val="0065617D"/>
    <w:rsid w:val="006A63AE"/>
    <w:rsid w:val="006A7091"/>
    <w:rsid w:val="006C289E"/>
    <w:rsid w:val="006D761F"/>
    <w:rsid w:val="007212F3"/>
    <w:rsid w:val="0072613C"/>
    <w:rsid w:val="00751787"/>
    <w:rsid w:val="007B0AA5"/>
    <w:rsid w:val="007C1BAD"/>
    <w:rsid w:val="007E2282"/>
    <w:rsid w:val="0088574C"/>
    <w:rsid w:val="008A1A6F"/>
    <w:rsid w:val="008A71EC"/>
    <w:rsid w:val="008B3011"/>
    <w:rsid w:val="008E0590"/>
    <w:rsid w:val="00926AE0"/>
    <w:rsid w:val="00933680"/>
    <w:rsid w:val="00977CD3"/>
    <w:rsid w:val="009A67BC"/>
    <w:rsid w:val="009B26E4"/>
    <w:rsid w:val="009D2348"/>
    <w:rsid w:val="009F2446"/>
    <w:rsid w:val="00A06874"/>
    <w:rsid w:val="00A22A5B"/>
    <w:rsid w:val="00A34836"/>
    <w:rsid w:val="00A47562"/>
    <w:rsid w:val="00A53788"/>
    <w:rsid w:val="00A827D8"/>
    <w:rsid w:val="00A82D16"/>
    <w:rsid w:val="00AD5662"/>
    <w:rsid w:val="00AF4780"/>
    <w:rsid w:val="00B11CD8"/>
    <w:rsid w:val="00B1294B"/>
    <w:rsid w:val="00B30435"/>
    <w:rsid w:val="00B319C0"/>
    <w:rsid w:val="00B33568"/>
    <w:rsid w:val="00B34251"/>
    <w:rsid w:val="00B9079B"/>
    <w:rsid w:val="00BD36B3"/>
    <w:rsid w:val="00BE2FAB"/>
    <w:rsid w:val="00C01104"/>
    <w:rsid w:val="00C2579D"/>
    <w:rsid w:val="00C50D27"/>
    <w:rsid w:val="00C5162A"/>
    <w:rsid w:val="00C55D16"/>
    <w:rsid w:val="00C81483"/>
    <w:rsid w:val="00CA2C6E"/>
    <w:rsid w:val="00D168A8"/>
    <w:rsid w:val="00D4390F"/>
    <w:rsid w:val="00D46BA6"/>
    <w:rsid w:val="00D56720"/>
    <w:rsid w:val="00D67F6F"/>
    <w:rsid w:val="00D935B9"/>
    <w:rsid w:val="00DA02F5"/>
    <w:rsid w:val="00DC1021"/>
    <w:rsid w:val="00DC15A4"/>
    <w:rsid w:val="00E06C94"/>
    <w:rsid w:val="00E11B7E"/>
    <w:rsid w:val="00E51C43"/>
    <w:rsid w:val="00E6011C"/>
    <w:rsid w:val="00E61F07"/>
    <w:rsid w:val="00E65C24"/>
    <w:rsid w:val="00E66CC3"/>
    <w:rsid w:val="00E87E61"/>
    <w:rsid w:val="00E92C92"/>
    <w:rsid w:val="00EB47F3"/>
    <w:rsid w:val="00EF5F45"/>
    <w:rsid w:val="00EF7B86"/>
    <w:rsid w:val="00F01811"/>
    <w:rsid w:val="00F06AAB"/>
    <w:rsid w:val="00F06E12"/>
    <w:rsid w:val="00F311BA"/>
    <w:rsid w:val="00F33657"/>
    <w:rsid w:val="00F4174C"/>
    <w:rsid w:val="00F464F0"/>
    <w:rsid w:val="00F4666A"/>
    <w:rsid w:val="00F532BF"/>
    <w:rsid w:val="00F53DA5"/>
    <w:rsid w:val="00F55078"/>
    <w:rsid w:val="00F556B7"/>
    <w:rsid w:val="00F56D6D"/>
    <w:rsid w:val="00F60309"/>
    <w:rsid w:val="00F90393"/>
    <w:rsid w:val="00F9D077"/>
    <w:rsid w:val="00FB5151"/>
    <w:rsid w:val="00FC6639"/>
    <w:rsid w:val="074EDDCC"/>
    <w:rsid w:val="1009EAA5"/>
    <w:rsid w:val="12D6FBBC"/>
    <w:rsid w:val="13F1865B"/>
    <w:rsid w:val="1472CC1D"/>
    <w:rsid w:val="220A5395"/>
    <w:rsid w:val="2AC0ECCE"/>
    <w:rsid w:val="3609C343"/>
    <w:rsid w:val="361905DC"/>
    <w:rsid w:val="39E7AB0B"/>
    <w:rsid w:val="3F287E13"/>
    <w:rsid w:val="42EF03E6"/>
    <w:rsid w:val="44180314"/>
    <w:rsid w:val="4672FBF7"/>
    <w:rsid w:val="47BDE6DD"/>
    <w:rsid w:val="48F34260"/>
    <w:rsid w:val="4BA18CBC"/>
    <w:rsid w:val="4D3D5D1D"/>
    <w:rsid w:val="4DC29450"/>
    <w:rsid w:val="52B02F48"/>
    <w:rsid w:val="55EAD677"/>
    <w:rsid w:val="56195C9A"/>
    <w:rsid w:val="5C073363"/>
    <w:rsid w:val="67A2B21E"/>
    <w:rsid w:val="682149C5"/>
    <w:rsid w:val="6CB8E5AC"/>
    <w:rsid w:val="6CF4BAE8"/>
    <w:rsid w:val="6DE87DDB"/>
    <w:rsid w:val="7101256D"/>
    <w:rsid w:val="727826FF"/>
    <w:rsid w:val="75FC1F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1B9986CA-AA61-40DD-8C6C-9D16172B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3"/>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4"/>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B319C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319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3D100C"/>
    <w:pPr>
      <w:spacing w:after="0" w:line="240" w:lineRule="auto"/>
    </w:pPr>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841DFD93-24D6-4773-B4F1-E3C4320D2B61}">
  <ds:schemaRefs>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a6cb9e4b-f1d1-4245-83ec-6cad768d538a"/>
    <ds:schemaRef ds:uri="http://purl.org/dc/dcmitype/"/>
    <ds:schemaRef ds:uri="http://schemas.microsoft.com/office/infopath/2007/PartnerControls"/>
    <ds:schemaRef ds:uri="9d85dbaf-23eb-4e57-a637-93dcacc8b1a1"/>
    <ds:schemaRef ds:uri="http://schemas.microsoft.com/office/2006/metadata/properties"/>
  </ds:schemaRefs>
</ds:datastoreItem>
</file>

<file path=customXml/itemProps3.xml><?xml version="1.0" encoding="utf-8"?>
<ds:datastoreItem xmlns:ds="http://schemas.openxmlformats.org/officeDocument/2006/customXml" ds:itemID="{1F825677-0C39-4B87-A414-FE555BACE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2B558E-ECDA-480B-BC82-AA66B7365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450</Words>
  <Characters>2480</Characters>
  <Application>Microsoft Office Word</Application>
  <DocSecurity>0</DocSecurity>
  <Lines>20</Lines>
  <Paragraphs>5</Paragraphs>
  <ScaleCrop>false</ScaleCrop>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Adriana Lopez Rodriguez</cp:lastModifiedBy>
  <cp:revision>22</cp:revision>
  <cp:lastPrinted>2020-04-30T17:48:00Z</cp:lastPrinted>
  <dcterms:created xsi:type="dcterms:W3CDTF">2022-12-12T17:14:00Z</dcterms:created>
  <dcterms:modified xsi:type="dcterms:W3CDTF">2025-08-25T16:12:00Z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14</vt:lpwstr>
  </property>
  <property fmtid="{D5CDD505-2E9C-101B-9397-08002B2CF9AE}" pid="4" name="Order">
    <vt:r8>19436400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